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2D" w:rsidRDefault="0066162D" w:rsidP="0066162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0453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Аналитическая справка о результатах мониторинга достижений детьми освоения ООП ДО МБДОУ Детский сад № 84 «Снегурочка» комбинированного вида г.Улан-Удэ (корпус 1)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за 2020-2021 учебный год</w:t>
      </w:r>
    </w:p>
    <w:p w:rsidR="0066162D" w:rsidRPr="000453B5" w:rsidRDefault="0066162D" w:rsidP="0066162D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453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Характеристика детей групп: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Корпус № 1 </w:t>
      </w:r>
      <w:r w:rsidRPr="000453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 для тубинфицированных детей, для детей с ослабленным иммунитетом, находившихся в контакте с больными туберкулезом. Он расположен в поселке Горький. Работает круглосуточно, пять рабочих дней в неделю и принимает детей по направлению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Республиканского клинического </w:t>
      </w:r>
      <w:r w:rsidRPr="000453B5">
        <w:rPr>
          <w:rFonts w:ascii="Times New Roman" w:hAnsi="Times New Roman" w:cs="Times New Roman"/>
          <w:noProof/>
          <w:sz w:val="28"/>
          <w:szCs w:val="28"/>
          <w:lang w:eastAsia="ru-RU"/>
        </w:rPr>
        <w:t>противотуберкулезного диспансера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Сегодня его посещают почти 150</w:t>
      </w:r>
      <w:r w:rsidRPr="000453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малышей от 1,5 до 7 лет со всего города Улан-Удэ.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453B5">
        <w:rPr>
          <w:rFonts w:ascii="Times New Roman" w:hAnsi="Times New Roman" w:cs="Times New Roman"/>
          <w:noProof/>
          <w:sz w:val="28"/>
          <w:szCs w:val="28"/>
          <w:lang w:eastAsia="ru-RU"/>
        </w:rPr>
        <w:t>В детском саду работают 11 групп оздоровительной направленности.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453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Цель мониторинга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заключается в определении степени осовения ребенком образовательной программы и влияния образовательного процесса, организуемого в ДОУ, на развитие воситанников.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C4E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Сроки проведения: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Сентябрь 2020 год, май 2021 год.</w:t>
      </w:r>
    </w:p>
    <w:p w:rsidR="0066162D" w:rsidRPr="00BC4EC6" w:rsidRDefault="0066162D" w:rsidP="0066162D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C4E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Методы получения результатов мониторинга: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наблюдения за детьми;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беседы;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анализ продуктов детской деятельности;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диагностика.</w:t>
      </w:r>
    </w:p>
    <w:p w:rsidR="0066162D" w:rsidRDefault="0066162D" w:rsidP="0066162D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C4E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Диагностический инструментарий: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протоколы наблюдений за детьми;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вопросники;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диагностические задания (дидактические игры, проблемно-игровые и образовательные ситуации);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продукты детской деятельности;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диагностические карты для заполения показателей.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Методическое пособие «Педагогическая диагностика развития ребенка» В.Ю. Белькович.</w:t>
      </w:r>
    </w:p>
    <w:p w:rsidR="0066162D" w:rsidRDefault="0066162D" w:rsidP="0066162D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21F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Система оценки: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66162D" w:rsidRDefault="0066162D" w:rsidP="0066162D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Оценка уровня овладения ребенком необходимыми навыками и умениями по образовательной области:</w:t>
      </w:r>
    </w:p>
    <w:p w:rsidR="0066162D" w:rsidRDefault="0066162D" w:rsidP="0066162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В-высокий;</w:t>
      </w:r>
    </w:p>
    <w:p w:rsidR="0066162D" w:rsidRDefault="0066162D" w:rsidP="0066162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– средний, соответствует возрасту;</w:t>
      </w:r>
    </w:p>
    <w:p w:rsidR="0066162D" w:rsidRDefault="0066162D" w:rsidP="0066162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Н- низкий, большинство компонентов недостаточно развиты.</w:t>
      </w:r>
    </w:p>
    <w:p w:rsidR="0066162D" w:rsidRDefault="0066162D" w:rsidP="0066162D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Сводная таблица 1. Результаты усвоения детьми Прогарммы по образовательным областям (%) за 2020-2021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43"/>
        <w:gridCol w:w="1085"/>
        <w:gridCol w:w="1085"/>
        <w:gridCol w:w="1044"/>
        <w:gridCol w:w="1085"/>
        <w:gridCol w:w="1085"/>
        <w:gridCol w:w="1044"/>
      </w:tblGrid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Образовательные области</w:t>
            </w:r>
          </w:p>
        </w:tc>
        <w:tc>
          <w:tcPr>
            <w:tcW w:w="3568" w:type="dxa"/>
            <w:gridSpan w:val="3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Уровень развития на сентябрь 2020г.</w:t>
            </w:r>
          </w:p>
        </w:tc>
        <w:tc>
          <w:tcPr>
            <w:tcW w:w="3568" w:type="dxa"/>
            <w:gridSpan w:val="3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Уровень развития на май 2021г.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Н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Познавательное развитие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56%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37%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41%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49%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10%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Речевое развитие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48%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45%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37%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53%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10%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Социально-коммуникативное развитие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16%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58%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26%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47%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53%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0%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Художественно-эстетическое развитие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11%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51%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38%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40%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53%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7%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Физическое развитие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26%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60%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14%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43%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54%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3%</w:t>
            </w:r>
          </w:p>
        </w:tc>
      </w:tr>
      <w:tr w:rsidR="0066162D" w:rsidRPr="00DB503D" w:rsidTr="00896934">
        <w:tc>
          <w:tcPr>
            <w:tcW w:w="3568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Общий показатель по развитию интегративного качества 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13,4%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54,6%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32%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41,6%</w:t>
            </w:r>
          </w:p>
        </w:tc>
        <w:tc>
          <w:tcPr>
            <w:tcW w:w="1189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52,4%</w:t>
            </w:r>
          </w:p>
        </w:tc>
        <w:tc>
          <w:tcPr>
            <w:tcW w:w="1190" w:type="dxa"/>
          </w:tcPr>
          <w:p w:rsidR="0066162D" w:rsidRPr="00DB503D" w:rsidRDefault="0066162D" w:rsidP="00896934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6%</w:t>
            </w:r>
          </w:p>
        </w:tc>
      </w:tr>
    </w:tbl>
    <w:p w:rsidR="0066162D" w:rsidRPr="00DB503D" w:rsidRDefault="0066162D" w:rsidP="0066162D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6162D" w:rsidRPr="00374A80" w:rsidRDefault="0066162D" w:rsidP="0066162D">
      <w:pPr>
        <w:spacing w:line="36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374A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Сводные данные по результатам усвоения детьми образовательной программы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74A80">
        <w:rPr>
          <w:rFonts w:ascii="Times New Roman" w:hAnsi="Times New Roman" w:cs="Times New Roman"/>
          <w:noProof/>
          <w:sz w:val="28"/>
          <w:szCs w:val="28"/>
          <w:lang w:eastAsia="ru-RU"/>
        </w:rPr>
        <w:t>Диаграмма1.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Данные диагностики на сентябрь 2020 год.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9FC43D" wp14:editId="5138087D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Диаграмма 2. </w:t>
      </w:r>
      <w:r w:rsidRPr="006B675E">
        <w:rPr>
          <w:rFonts w:ascii="Times New Roman" w:hAnsi="Times New Roman" w:cs="Times New Roman"/>
          <w:noProof/>
          <w:sz w:val="28"/>
          <w:szCs w:val="28"/>
          <w:lang w:eastAsia="ru-RU"/>
        </w:rPr>
        <w:t>Дан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ные диагностики на май 2021</w:t>
      </w:r>
      <w:r w:rsidRPr="006B67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год.</w:t>
      </w:r>
    </w:p>
    <w:p w:rsidR="0066162D" w:rsidRPr="00421F8F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AA8351" wp14:editId="417CA772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 результатам наблюдения и анализа диагностики в ДОУ можно сделать вывод о наличии наиболее высокого уровня знаний детей по образовательным областям «Социально-коммуникативное развитие» и «Физическое развитие». Требует внимание показатели по области «Художественно-эстетическому развитие». Низкий результат по образовательным областям «Познавательное развитие» и «Речевое».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Детальный  анализ причин низкого уровня усвоения программы позволяет выявить следующие затрудения: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«Познавательное развитие». В данной области отмечаются наличие затруднений в сравнении предметов по величине, недостаточно четкое понятие величины и количества.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«Речевое развитие». Признаками таковых результатов стало то, что достаточно большой процент детей, имеющие нарушения в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звукопроизношении, слабо развит артикуляционный аппарат. В одной из средних групп отмечается недостаточное овладение способами деления слов на слоги, развитие мелкой моторики.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 анализе освоения данных областей просматривается положительная динамика, но есть моменты на которые следует обратить внимание: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личные предпочтения педагогов;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-недостаточной уровень компетенции отдельных педагогов при организации деятельности.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повышения качества освоения образовательных областей необходимо следующее: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повышение значимости для педагогов образовательной области: «Познавательное развитие»;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повышение профессиональной компетенции педагогов в образовательных областях: «Познавательное развитие», «Речевое развитие»;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консультирование и обучение педагогов для организации деятельности с детьми по данным областям;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 рекомендации  родителям для повышения компетенции по вопросам развития детей;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увеличение игрового материала для освоения материала.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Вместе с тем, позитивные изменения в развитии интегративных качеств у воспитанников группы позволяют сделать вывод об эффективности построения образовательного процесса в ДОУ, об эффективности реализации основной общеобразовательной программы в дошкольном учреждении. </w:t>
      </w:r>
    </w:p>
    <w:p w:rsidR="0066162D" w:rsidRDefault="0066162D" w:rsidP="0066162D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7056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Сводная таблица формирования интегративных качеств </w:t>
      </w:r>
    </w:p>
    <w:p w:rsidR="0066162D" w:rsidRDefault="0066162D" w:rsidP="0066162D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 2020-2021учебный год</w:t>
      </w:r>
    </w:p>
    <w:tbl>
      <w:tblPr>
        <w:tblStyle w:val="a5"/>
        <w:tblW w:w="10666" w:type="dxa"/>
        <w:tblLayout w:type="fixed"/>
        <w:tblLook w:val="04A0" w:firstRow="1" w:lastRow="0" w:firstColumn="1" w:lastColumn="0" w:noHBand="0" w:noVBand="1"/>
      </w:tblPr>
      <w:tblGrid>
        <w:gridCol w:w="947"/>
        <w:gridCol w:w="579"/>
        <w:gridCol w:w="646"/>
        <w:gridCol w:w="676"/>
        <w:gridCol w:w="662"/>
        <w:gridCol w:w="567"/>
        <w:gridCol w:w="695"/>
        <w:gridCol w:w="671"/>
        <w:gridCol w:w="567"/>
        <w:gridCol w:w="567"/>
        <w:gridCol w:w="567"/>
        <w:gridCol w:w="708"/>
        <w:gridCol w:w="567"/>
        <w:gridCol w:w="656"/>
        <w:gridCol w:w="599"/>
        <w:gridCol w:w="496"/>
        <w:gridCol w:w="496"/>
      </w:tblGrid>
      <w:tr w:rsidR="0066162D" w:rsidRPr="00C226C2" w:rsidTr="00896934">
        <w:tc>
          <w:tcPr>
            <w:tcW w:w="94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lastRenderedPageBreak/>
              <w:t xml:space="preserve">Уровень </w:t>
            </w:r>
          </w:p>
        </w:tc>
        <w:tc>
          <w:tcPr>
            <w:tcW w:w="9719" w:type="dxa"/>
            <w:gridSpan w:val="16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Интегративные качества</w:t>
            </w:r>
          </w:p>
        </w:tc>
      </w:tr>
      <w:tr w:rsidR="0066162D" w:rsidRPr="00C226C2" w:rsidTr="00896934">
        <w:trPr>
          <w:trHeight w:val="1437"/>
        </w:trPr>
        <w:tc>
          <w:tcPr>
            <w:tcW w:w="947" w:type="dxa"/>
            <w:vMerge w:val="restart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Физически развитый</w:t>
            </w:r>
          </w:p>
        </w:tc>
        <w:tc>
          <w:tcPr>
            <w:tcW w:w="1338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Любознательность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Активность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62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Эмоциональность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Отзывчивость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38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Овладения средствами общения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Способность управлять своим поеведением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Способность решать интеллектуальные и личностные задачи</w:t>
            </w:r>
          </w:p>
        </w:tc>
        <w:tc>
          <w:tcPr>
            <w:tcW w:w="1255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Представление о себе, семье, природе и мире</w:t>
            </w:r>
          </w:p>
          <w:p w:rsidR="0066162D" w:rsidRPr="00C226C2" w:rsidRDefault="0066162D" w:rsidP="0089693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Итог</w:t>
            </w:r>
          </w:p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</w:tr>
      <w:tr w:rsidR="0066162D" w:rsidRPr="00C226C2" w:rsidTr="00896934">
        <w:trPr>
          <w:trHeight w:val="254"/>
        </w:trPr>
        <w:tc>
          <w:tcPr>
            <w:tcW w:w="947" w:type="dxa"/>
            <w:vMerge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64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67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</w:t>
            </w: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.г</w:t>
            </w:r>
          </w:p>
        </w:tc>
        <w:tc>
          <w:tcPr>
            <w:tcW w:w="662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</w:t>
            </w:r>
          </w:p>
        </w:tc>
        <w:tc>
          <w:tcPr>
            <w:tcW w:w="695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671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708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65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</w:t>
            </w:r>
          </w:p>
        </w:tc>
        <w:tc>
          <w:tcPr>
            <w:tcW w:w="59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н.г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C226C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к.г.</w:t>
            </w:r>
          </w:p>
        </w:tc>
      </w:tr>
      <w:tr w:rsidR="0066162D" w:rsidRPr="00C226C2" w:rsidTr="00896934">
        <w:trPr>
          <w:trHeight w:val="257"/>
        </w:trPr>
        <w:tc>
          <w:tcPr>
            <w:tcW w:w="94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высокий</w:t>
            </w:r>
          </w:p>
        </w:tc>
        <w:tc>
          <w:tcPr>
            <w:tcW w:w="57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676" w:type="dxa"/>
          </w:tcPr>
          <w:p w:rsidR="0066162D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671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08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65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9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49,9</w:t>
            </w:r>
          </w:p>
        </w:tc>
      </w:tr>
      <w:tr w:rsidR="0066162D" w:rsidRPr="00C226C2" w:rsidTr="00896934">
        <w:trPr>
          <w:trHeight w:val="262"/>
        </w:trPr>
        <w:tc>
          <w:tcPr>
            <w:tcW w:w="947" w:type="dxa"/>
          </w:tcPr>
          <w:p w:rsidR="0066162D" w:rsidRDefault="0066162D" w:rsidP="00896934">
            <w:pPr>
              <w:spacing w:line="360" w:lineRule="auto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средний</w:t>
            </w:r>
          </w:p>
        </w:tc>
        <w:tc>
          <w:tcPr>
            <w:tcW w:w="57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64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676" w:type="dxa"/>
          </w:tcPr>
          <w:p w:rsidR="0066162D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2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5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671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708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65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59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41,7</w:t>
            </w:r>
          </w:p>
        </w:tc>
      </w:tr>
      <w:tr w:rsidR="0066162D" w:rsidRPr="00C226C2" w:rsidTr="00896934">
        <w:trPr>
          <w:trHeight w:val="251"/>
        </w:trPr>
        <w:tc>
          <w:tcPr>
            <w:tcW w:w="947" w:type="dxa"/>
          </w:tcPr>
          <w:p w:rsidR="0066162D" w:rsidRDefault="0066162D" w:rsidP="00896934">
            <w:pPr>
              <w:spacing w:line="360" w:lineRule="auto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низкий</w:t>
            </w:r>
          </w:p>
        </w:tc>
        <w:tc>
          <w:tcPr>
            <w:tcW w:w="57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64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76" w:type="dxa"/>
          </w:tcPr>
          <w:p w:rsidR="0066162D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95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708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65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59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6,2</w:t>
            </w:r>
          </w:p>
        </w:tc>
      </w:tr>
      <w:tr w:rsidR="0066162D" w:rsidRPr="00C226C2" w:rsidTr="00896934">
        <w:trPr>
          <w:trHeight w:val="395"/>
        </w:trPr>
        <w:tc>
          <w:tcPr>
            <w:tcW w:w="947" w:type="dxa"/>
          </w:tcPr>
          <w:p w:rsidR="0066162D" w:rsidRDefault="0066162D" w:rsidP="00896934">
            <w:pPr>
              <w:spacing w:line="360" w:lineRule="auto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средний балл</w:t>
            </w:r>
          </w:p>
        </w:tc>
        <w:tc>
          <w:tcPr>
            <w:tcW w:w="57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64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676" w:type="dxa"/>
          </w:tcPr>
          <w:p w:rsidR="0066162D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662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695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671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708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67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65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99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496" w:type="dxa"/>
          </w:tcPr>
          <w:p w:rsidR="0066162D" w:rsidRPr="00C226C2" w:rsidRDefault="0066162D" w:rsidP="00896934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t>2,8</w:t>
            </w:r>
          </w:p>
        </w:tc>
      </w:tr>
    </w:tbl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Анализ уровня развития интегративных качеств у воспитанников позволяет выстроить следующий рейтинговый порядок.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Наиболее высокие результаты достигнуты при развитии таких интегративных качеств, как: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физическое развитие – 65%;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представление о себе и о мире – 55%;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любознательность, активность – 50%;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овладение средствами общения – 50%;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способность управлять своим поведением – 50%.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Несколько ниже результаты достигнуты при развитии таких интегративных качеств, как: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эмоциональность, отзывчивость  - 45%;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способность решать интеллектуальные и личностные задачи – 37,5%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 анализе уровня развития интегративных качеств по группам наиболее высокие показатели достигнуты в группах: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12 группа – 78%;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6 группа – 74%;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9 группа – 68%.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Причина низкого уровня развития: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особенности развития категории детей с нарушениями речи, не всегда позволяют достичь высоких результатов формирования интегративных качеств, утвержденным ФГОС к ООП ДО, формирование интегративных качеств может быть отсрочено по времени;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личностные качества не могут изменяться также быстро, как проявление результатов обучения ребенка;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развитие личностных качеств тесно взаимосвязано с уровнем личностного развития родителей;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на формирование интегративных качеств влияет срок пребываания ребенка в ДОУ.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целом, анализ усвоения материала по вышеперечисленным областям показывает стабильную положительную динамику, дающую стабильные высокие результаты качества усвоения этих областей воспитанниками. Это связано с использованием педагогами дополнительных технологий и программ.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Анализируя документацию проведенного материала, можно отметить следующее: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уровень ответственности и профессиональной компетентности педагогов в процессе проведения мониторинговых исследований достаточно высокий;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работа по развитию, воспитанию и обучению детей в ДОУ организована в соответствии с ФГОС;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необходимые умения и навыки, значимые для дальнейшего обучения психические функции у детей хорошо сформировны;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- анализ уровня развития интегративных качеств по итогам года показал, что  в среднем по учреждению он составляет 73,3%;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анализ уровня освоения программы показываает что  в среднем по корпусу уровень усвоения областей ООП воспитанниками составляет – 41,1 % высокий уровень и 52,4% - средний.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Вывод: наблюдается положительная динамика развития детей и положительная динамика освоения образовательных областей.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сентябрь 2021 года воспитателям всех групп было рекомендовано в течение года постоянно: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учитывать результаты мониторинга при планировании воспитательно-образовательной работы;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пополнить группы оборудованием для развития крупной и мелкой моторики;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повысить качество работы педагогов групп № 1,2,7;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повышать коммуникативно-речевую компетентности детей в интеграции всех видов деятельности. Для этого увеличить количество игр в группах по развитию связной речи детей.</w:t>
      </w: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162D" w:rsidRDefault="0066162D" w:rsidP="0066162D">
      <w:pPr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162D" w:rsidRDefault="0066162D" w:rsidP="0066162D">
      <w:pPr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653C2E" w:rsidRDefault="00653C2E"/>
    <w:sectPr w:rsidR="0065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732"/>
    <w:rsid w:val="001D5732"/>
    <w:rsid w:val="00653C2E"/>
    <w:rsid w:val="0066162D"/>
    <w:rsid w:val="009D73A7"/>
    <w:rsid w:val="00F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7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61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Познание</c:v>
                </c:pt>
                <c:pt idx="1">
                  <c:v>Речевое развитие</c:v>
                </c:pt>
                <c:pt idx="2">
                  <c:v>соц.-коммун.</c:v>
                </c:pt>
                <c:pt idx="3">
                  <c:v>Худ.-эстет.</c:v>
                </c:pt>
                <c:pt idx="4">
                  <c:v>физическое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7</c:v>
                </c:pt>
                <c:pt idx="2">
                  <c:v>16</c:v>
                </c:pt>
                <c:pt idx="3">
                  <c:v>11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21-4C5D-9AC8-52DBD853564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Познание</c:v>
                </c:pt>
                <c:pt idx="1">
                  <c:v>Речевое развитие</c:v>
                </c:pt>
                <c:pt idx="2">
                  <c:v>соц.-коммун.</c:v>
                </c:pt>
                <c:pt idx="3">
                  <c:v>Худ.-эстет.</c:v>
                </c:pt>
                <c:pt idx="4">
                  <c:v>физическое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48</c:v>
                </c:pt>
                <c:pt idx="2">
                  <c:v>58</c:v>
                </c:pt>
                <c:pt idx="3">
                  <c:v>51</c:v>
                </c:pt>
                <c:pt idx="4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221-4C5D-9AC8-52DBD853564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Познание</c:v>
                </c:pt>
                <c:pt idx="1">
                  <c:v>Речевое развитие</c:v>
                </c:pt>
                <c:pt idx="2">
                  <c:v>соц.-коммун.</c:v>
                </c:pt>
                <c:pt idx="3">
                  <c:v>Худ.-эстет.</c:v>
                </c:pt>
                <c:pt idx="4">
                  <c:v>физическое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37</c:v>
                </c:pt>
                <c:pt idx="1">
                  <c:v>45</c:v>
                </c:pt>
                <c:pt idx="2">
                  <c:v>26</c:v>
                </c:pt>
                <c:pt idx="3">
                  <c:v>38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221-4C5D-9AC8-52DBD85356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68992"/>
        <c:axId val="100470784"/>
      </c:barChart>
      <c:catAx>
        <c:axId val="100468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470784"/>
        <c:crosses val="autoZero"/>
        <c:auto val="1"/>
        <c:lblAlgn val="ctr"/>
        <c:lblOffset val="100"/>
        <c:noMultiLvlLbl val="0"/>
      </c:catAx>
      <c:valAx>
        <c:axId val="10047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468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Познавательное развитие</c:v>
                </c:pt>
                <c:pt idx="1">
                  <c:v>Речевое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37</c:v>
                </c:pt>
                <c:pt idx="2">
                  <c:v>47</c:v>
                </c:pt>
                <c:pt idx="3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5B-4DD4-8C51-9D3E3EE19F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Познавательное развитие</c:v>
                </c:pt>
                <c:pt idx="1">
                  <c:v>Речевое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49</c:v>
                </c:pt>
                <c:pt idx="1">
                  <c:v>53</c:v>
                </c:pt>
                <c:pt idx="2">
                  <c:v>53</c:v>
                </c:pt>
                <c:pt idx="3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5B-4DD4-8C51-9D3E3EE19F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Познавательное развитие</c:v>
                </c:pt>
                <c:pt idx="1">
                  <c:v>Речевое</c:v>
                </c:pt>
                <c:pt idx="2">
                  <c:v>Социально-коммуникативное</c:v>
                </c:pt>
                <c:pt idx="3">
                  <c:v>Художественно-эстетическое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5B-4DD4-8C51-9D3E3EE19F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185024"/>
        <c:axId val="145195008"/>
      </c:barChart>
      <c:catAx>
        <c:axId val="145185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5195008"/>
        <c:crosses val="autoZero"/>
        <c:auto val="1"/>
        <c:lblAlgn val="ctr"/>
        <c:lblOffset val="100"/>
        <c:noMultiLvlLbl val="0"/>
      </c:catAx>
      <c:valAx>
        <c:axId val="14519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51850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2021-12-06T03:59:00Z</cp:lastPrinted>
  <dcterms:created xsi:type="dcterms:W3CDTF">2022-09-22T01:48:00Z</dcterms:created>
  <dcterms:modified xsi:type="dcterms:W3CDTF">2022-09-22T01:48:00Z</dcterms:modified>
</cp:coreProperties>
</file>