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2D" w:rsidRPr="00D717AE" w:rsidRDefault="0066162D" w:rsidP="00D717AE">
      <w:pPr>
        <w:spacing w:before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Аналитическая справка о результатах мониторинга достижений детьми освоения ООП ДО МБДОУ Детский сад № 84 «Снегурочка» комбинирова</w:t>
      </w:r>
      <w:r w:rsidR="0044250E"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нного вида г.Улан-Удэ за 2021-2022</w:t>
      </w: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</w:t>
      </w:r>
    </w:p>
    <w:p w:rsidR="0066162D" w:rsidRPr="00D717AE" w:rsidRDefault="0066162D" w:rsidP="00D717AE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Характеристика детей групп: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Корпус № 1  -  для тубинфицированных детей, для детей с ослабленным иммунитетом, находившихся в контакте с больными туберкулезом. Он расположен в поселке Горький. Работает круглосуточно, пять рабочих дней в неделю и принимает детей по направлению Республиканского клинического противотуберкулезного диспансера</w:t>
      </w:r>
      <w:r w:rsidR="0044250E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. Сегодня его посещают почти 13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 малышей от 1,5 до 7 лет со всего города Улан-Удэ.  </w:t>
      </w:r>
      <w:r w:rsidR="00BB211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В детском саду работаю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т 11 групп оздоровительной направленности.</w:t>
      </w:r>
    </w:p>
    <w:p w:rsidR="00B849C4" w:rsidRPr="00D717AE" w:rsidRDefault="00B849C4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Корпус № 2  -  для детей общеразвивающей направленности. Он расположен в 142 микрорайоне. Работает пять рабочих дней в неде</w:t>
      </w:r>
      <w:r w:rsidR="00BB211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лю. П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осе</w:t>
      </w:r>
      <w:r w:rsidR="00BB211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щают его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280 детей от 1,5 до</w:t>
      </w:r>
      <w:r w:rsidR="00BB211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 лет.  В втором корпусе работае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т 14 групп.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мониторинга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заключается в определении степени осовения ребенком образовательной программы и влияния образовательного процесса, организуемого в ДОУ, на развитие воситанников.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Сроки проведения:</w:t>
      </w:r>
      <w:r w:rsidR="00B849C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Сентябрь 2021 год, май 2022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год.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Методы получения результатов мониторинга: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наблюдения за детьми;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беседы;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анализ продуктов детской деятельности;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диагностика.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Диагностический инструментарий: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протоколы наблюдений за детьми;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вопросники;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диагностические задания (дидактические игры, проблемно-игровые и образовательные ситуации);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продукты детской деятельности;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диагностические карты для заполения показателей.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Методическое пособие «Педагогическая диагностика развития ребенка» В.Ю. Белькович.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Система оценки: </w:t>
      </w:r>
    </w:p>
    <w:p w:rsidR="0066162D" w:rsidRPr="00D717AE" w:rsidRDefault="0066162D" w:rsidP="00D717AE">
      <w:pPr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Оценка уровня овладения ребенком необходимыми навыками и умениями по образовательной области:</w:t>
      </w:r>
    </w:p>
    <w:p w:rsidR="0066162D" w:rsidRPr="00D717AE" w:rsidRDefault="0066162D" w:rsidP="00D717AE">
      <w:pPr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В-высокий;</w:t>
      </w:r>
    </w:p>
    <w:p w:rsidR="0066162D" w:rsidRPr="00D717AE" w:rsidRDefault="0066162D" w:rsidP="00D717AE">
      <w:pPr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С – средний, соответствует возрасту;</w:t>
      </w:r>
    </w:p>
    <w:p w:rsidR="0066162D" w:rsidRPr="00D717AE" w:rsidRDefault="0066162D" w:rsidP="00D717AE">
      <w:pPr>
        <w:spacing w:before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Н- низкий, большинство компонентов недостаточно развиты.</w:t>
      </w:r>
    </w:p>
    <w:p w:rsidR="0066162D" w:rsidRPr="00D717AE" w:rsidRDefault="0066162D" w:rsidP="00D717AE">
      <w:pPr>
        <w:spacing w:before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Сводная таблица 1. Результаты усвоения детьми Прогарммы по обра</w:t>
      </w:r>
      <w:r w:rsidR="00B849C4"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зовательным областям (%) за 2021-2022</w:t>
      </w: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9"/>
        <w:gridCol w:w="1089"/>
        <w:gridCol w:w="1089"/>
        <w:gridCol w:w="1038"/>
        <w:gridCol w:w="1089"/>
        <w:gridCol w:w="1089"/>
        <w:gridCol w:w="1038"/>
      </w:tblGrid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68" w:type="dxa"/>
            <w:gridSpan w:val="3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Уровень развития на сентябрь 2020г.</w:t>
            </w:r>
          </w:p>
        </w:tc>
        <w:tc>
          <w:tcPr>
            <w:tcW w:w="3568" w:type="dxa"/>
            <w:gridSpan w:val="3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Уровень развития на май 2021г.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10%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10%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7%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3%</w:t>
            </w:r>
          </w:p>
        </w:tc>
      </w:tr>
      <w:tr w:rsidR="0066162D" w:rsidRPr="00D717AE" w:rsidTr="00896934">
        <w:tc>
          <w:tcPr>
            <w:tcW w:w="3568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Общий показатель по развитию интегративного качества 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13,4%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54,6%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41,6%</w:t>
            </w:r>
          </w:p>
        </w:tc>
        <w:tc>
          <w:tcPr>
            <w:tcW w:w="1189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52,4%</w:t>
            </w:r>
          </w:p>
        </w:tc>
        <w:tc>
          <w:tcPr>
            <w:tcW w:w="1190" w:type="dxa"/>
          </w:tcPr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6%</w:t>
            </w:r>
          </w:p>
        </w:tc>
      </w:tr>
    </w:tbl>
    <w:p w:rsidR="0066162D" w:rsidRPr="00D717AE" w:rsidRDefault="0066162D" w:rsidP="00D717AE">
      <w:pPr>
        <w:spacing w:before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Сводные данные по результатам усвоения детьми образовательной программы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Диаграмма1. Дан</w:t>
      </w:r>
      <w:r w:rsidR="00B849C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ные диагностики на сентябрь 2021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9EBA7F" wp14:editId="5D656F7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Диаграмма 2. Дан</w:t>
      </w:r>
      <w:r w:rsidR="00B849C4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ные диагностики на май 2022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83D24" wp14:editId="58FE524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результатам наблюдения и анализа диагностики в ДОУ можно сделать вывод о наличии наиболее высокого уровня знаний детей по образовательным областям «Социально-коммуникативное развитие» и «Физическое развитие». Требует внимание 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показатели по области «Художественно-эстетическому развитие». Низкий результат по образовательным областям «Познавательное развитие» и «Речевое».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Детальный  анализ причин низкого уровня усвоения программы позволяет выявить следующие затрудения: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«Познавательное развитие». В данной области отмечаются наличие затруднений в сравнении предметов по величине, недостаточно четкое понятие величины и количества.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«Речевое развитие». Признаками таковых результатов стало то, что достаточно большой процент детей, имеющие нарушения в звукопроизношении, слабо развит артикуляционный аппарат. В одной из средних групп отмечается недостаточное овладение способами деления слов на слоги, развитие мелкой моторики.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При анализе освоения данных областей просматривается положительная динамика, но есть моменты на которые следует обратить внимание: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личные предпочтения педагогов;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-недостаточной уровень компетенции отдельных педагогов при организации деятельности.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Для повышения качества освоения образовательных областей необходимо следующее: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значимости для педагогов образовательной области: «Познавательное развитие»;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повышение профессиональной компетенции педагогов в образовательных областях: «Познавательное развитие», «Речевое развитие»;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консультирование и обучение педагогов для организации деятельности с детьми по данным областям;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 рекомендации  родителям для повышения компетенции по вопросам развития детей;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увеличение игрового материала для освоения материала.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Вместе с тем, позитивные изменения в развитии интегративных качеств у воспитанников группы позволяют сделать вывод об эффективности построения образовательного 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процесса в ДОУ, об эффективности реализации основной общеобразовательной программы в дошкольном учреждении. </w:t>
      </w:r>
    </w:p>
    <w:p w:rsidR="0066162D" w:rsidRPr="00D717AE" w:rsidRDefault="0066162D" w:rsidP="00D717AE">
      <w:pPr>
        <w:spacing w:before="24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Сводная таблица формирования интегративных качеств </w:t>
      </w:r>
    </w:p>
    <w:p w:rsidR="0066162D" w:rsidRPr="00D717AE" w:rsidRDefault="0066162D" w:rsidP="00D717AE">
      <w:pPr>
        <w:spacing w:before="24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 20</w:t>
      </w:r>
      <w:r w:rsidR="00B849C4"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21-2022</w:t>
      </w:r>
      <w:r w:rsidRPr="00D717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учебный год</w:t>
      </w:r>
    </w:p>
    <w:tbl>
      <w:tblPr>
        <w:tblStyle w:val="a5"/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47"/>
        <w:gridCol w:w="579"/>
        <w:gridCol w:w="646"/>
        <w:gridCol w:w="676"/>
        <w:gridCol w:w="662"/>
        <w:gridCol w:w="567"/>
        <w:gridCol w:w="695"/>
        <w:gridCol w:w="671"/>
        <w:gridCol w:w="567"/>
        <w:gridCol w:w="567"/>
        <w:gridCol w:w="567"/>
        <w:gridCol w:w="708"/>
        <w:gridCol w:w="567"/>
        <w:gridCol w:w="656"/>
        <w:gridCol w:w="599"/>
        <w:gridCol w:w="496"/>
        <w:gridCol w:w="496"/>
      </w:tblGrid>
      <w:tr w:rsidR="0066162D" w:rsidRPr="00D717AE" w:rsidTr="00B849C4">
        <w:tc>
          <w:tcPr>
            <w:tcW w:w="94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719" w:type="dxa"/>
            <w:gridSpan w:val="16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Интегративные качества</w:t>
            </w:r>
          </w:p>
        </w:tc>
      </w:tr>
      <w:tr w:rsidR="0066162D" w:rsidRPr="00D717AE" w:rsidTr="00B849C4">
        <w:trPr>
          <w:trHeight w:val="1437"/>
        </w:trPr>
        <w:tc>
          <w:tcPr>
            <w:tcW w:w="947" w:type="dxa"/>
            <w:vMerge w:val="restart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Физически развитый</w:t>
            </w:r>
          </w:p>
        </w:tc>
        <w:tc>
          <w:tcPr>
            <w:tcW w:w="1338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Любознательность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Активность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Эмоциональность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Отзывчивость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Овладения средствами общения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Способность управлять своим поеведением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Способность решать интеллектуальные и личностные задачи</w:t>
            </w:r>
          </w:p>
        </w:tc>
        <w:tc>
          <w:tcPr>
            <w:tcW w:w="1255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Представление о себе, семье, природе и мире</w:t>
            </w:r>
          </w:p>
          <w:p w:rsidR="0066162D" w:rsidRPr="00D717AE" w:rsidRDefault="0066162D" w:rsidP="00D717A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</w:t>
            </w:r>
          </w:p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6162D" w:rsidRPr="00D717AE" w:rsidTr="00B849C4">
        <w:trPr>
          <w:trHeight w:val="254"/>
        </w:trPr>
        <w:tc>
          <w:tcPr>
            <w:tcW w:w="947" w:type="dxa"/>
            <w:vMerge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64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7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62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95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71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708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5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9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к.г.</w:t>
            </w:r>
          </w:p>
        </w:tc>
      </w:tr>
      <w:tr w:rsidR="0066162D" w:rsidRPr="00D717AE" w:rsidTr="00B849C4">
        <w:trPr>
          <w:trHeight w:val="257"/>
        </w:trPr>
        <w:tc>
          <w:tcPr>
            <w:tcW w:w="94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7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67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671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65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49,9</w:t>
            </w:r>
          </w:p>
        </w:tc>
      </w:tr>
      <w:tr w:rsidR="0066162D" w:rsidRPr="00D717AE" w:rsidTr="00B849C4">
        <w:trPr>
          <w:trHeight w:val="262"/>
        </w:trPr>
        <w:tc>
          <w:tcPr>
            <w:tcW w:w="947" w:type="dxa"/>
          </w:tcPr>
          <w:p w:rsidR="0066162D" w:rsidRPr="00D717AE" w:rsidRDefault="0066162D" w:rsidP="00D717AE">
            <w:pPr>
              <w:spacing w:before="24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7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64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7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671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08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65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59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41,7</w:t>
            </w:r>
          </w:p>
        </w:tc>
      </w:tr>
      <w:tr w:rsidR="0066162D" w:rsidRPr="00D717AE" w:rsidTr="00B849C4">
        <w:trPr>
          <w:trHeight w:val="251"/>
        </w:trPr>
        <w:tc>
          <w:tcPr>
            <w:tcW w:w="947" w:type="dxa"/>
          </w:tcPr>
          <w:p w:rsidR="0066162D" w:rsidRPr="00D717AE" w:rsidRDefault="0066162D" w:rsidP="00D717AE">
            <w:pPr>
              <w:spacing w:before="24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7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4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8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5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59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6,2</w:t>
            </w:r>
          </w:p>
        </w:tc>
      </w:tr>
      <w:tr w:rsidR="0066162D" w:rsidRPr="00D717AE" w:rsidTr="00B849C4">
        <w:trPr>
          <w:trHeight w:val="395"/>
        </w:trPr>
        <w:tc>
          <w:tcPr>
            <w:tcW w:w="947" w:type="dxa"/>
          </w:tcPr>
          <w:p w:rsidR="0066162D" w:rsidRPr="00D717AE" w:rsidRDefault="0066162D" w:rsidP="00D717AE">
            <w:pPr>
              <w:spacing w:before="24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7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7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62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5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1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99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96" w:type="dxa"/>
          </w:tcPr>
          <w:p w:rsidR="0066162D" w:rsidRPr="00D717AE" w:rsidRDefault="0066162D" w:rsidP="00D717AE">
            <w:pPr>
              <w:spacing w:before="24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2,8</w:t>
            </w:r>
          </w:p>
        </w:tc>
      </w:tr>
    </w:tbl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Анализ уровня развития интегративных качеств у воспитанников позволяет выстроить следующий рейтинговый порядок.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Наиболее высокие результаты достигнуты при развитии таких интегративных качеств, как: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- физическое развитие – 65%;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представление о себе и о мире – 55%;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любознательность, активность – 50%;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овладение средствами общения – 50%;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способность управлять своим поведением – 50%.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Несколько ниже результаты достигнуты при развитии таких интегративных качеств, как: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эмоциональность, отзывчивость  - 45%;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способность решать интеллектуальные и личностные задачи – 37,5%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При анализе уровня развития интегративных качеств по группам наиболее высокие показатели достигнуты в группах: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12 группа – 78%;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6 группа – 74%;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9 группа – 68%.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Причина низкого уровня развития: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особенности развития категории детей с нарушениями речи, не всегда позволяют достичь высоких результатов формирования интегративных качеств, утвержденным ФГОС к ООП ДО, формирование интегративных качеств может быть отсрочено по времени;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личностные качества не могут изменяться также быстро, как проявление результатов обучения ребенка;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развитие личностных качеств тесно взаимосвязано с уровнем личностного развития родителей;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на формирование интегративных качеств влияет срок пребываания ребенка в ДОУ.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целом, анализ усвоения материала по вышеперечисленным областям показывает стабильную положительную динамику, дающую стабильные высокие результаты качества </w:t>
      </w: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усвоения этих областей воспитанниками. Это связано с использованием педагогами дополнительных технологий и программ.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Анализируя документацию проведенного материала, можно отметить следующее: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уровень ответственности и профессиональной компетентности педагогов в процессе проведения мониторинговых исследований достаточно высокий;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работа по развитию, воспитанию и обучению детей в ДОУ организована в соответствии с ФГОС;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необходимые умения и навыки, значимые для дальнейшего обучения психические функции у детей хорошо сформировны;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анализ уровня развития интегративных качеств по итогам года показал, что  в среднем по учреждению он составляет 73,3%;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анализ уровня освоения программы показываает что  в среднем по корпусу уровень усвоения областей ООП воспитанниками составляет – 41,1 % высокий уровень и 52,4% - средний.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Вывод: наблюдается положительная динамика развития детей и положительная динамика освоения образовательных областей.</w:t>
      </w:r>
    </w:p>
    <w:p w:rsidR="0066162D" w:rsidRPr="00D717AE" w:rsidRDefault="00B849C4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На сентябрь 2022</w:t>
      </w:r>
      <w:r w:rsidR="0066162D"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воспитателям всех групп было рекомендовано в течение года постоянно: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учитывать результаты мониторинга при планировании воспитательно-образовательной работы;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пополнить группы оборудованием для развития крупной и мелкой моторики;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повысить качество работы педагогов групп № 1,2,7;</w:t>
      </w:r>
    </w:p>
    <w:p w:rsidR="0066162D" w:rsidRPr="00D717AE" w:rsidRDefault="0066162D" w:rsidP="00D717AE">
      <w:pPr>
        <w:spacing w:before="24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17AE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повышать коммуникативно-речевую компетентности детей в интеграции всех видов деятельности. Для этого увеличить количество игр в группах по развитию связной речи детей.</w:t>
      </w: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162D" w:rsidRDefault="0066162D" w:rsidP="0066162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66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2"/>
    <w:rsid w:val="001D5732"/>
    <w:rsid w:val="0044250E"/>
    <w:rsid w:val="00653C2E"/>
    <w:rsid w:val="0066162D"/>
    <w:rsid w:val="009D73A7"/>
    <w:rsid w:val="00B849C4"/>
    <w:rsid w:val="00BB2114"/>
    <w:rsid w:val="00D717AE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6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 развитие</c:v>
                </c:pt>
                <c:pt idx="2">
                  <c:v>соц.-коммун.</c:v>
                </c:pt>
                <c:pt idx="3">
                  <c:v>Худ.-эстет.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16</c:v>
                </c:pt>
                <c:pt idx="3">
                  <c:v>11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21-4C5D-9AC8-52DBD85356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 развитие</c:v>
                </c:pt>
                <c:pt idx="2">
                  <c:v>соц.-коммун.</c:v>
                </c:pt>
                <c:pt idx="3">
                  <c:v>Худ.-эстет.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48</c:v>
                </c:pt>
                <c:pt idx="2">
                  <c:v>58</c:v>
                </c:pt>
                <c:pt idx="3">
                  <c:v>51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21-4C5D-9AC8-52DBD85356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Познание</c:v>
                </c:pt>
                <c:pt idx="1">
                  <c:v>Речевое развитие</c:v>
                </c:pt>
                <c:pt idx="2">
                  <c:v>соц.-коммун.</c:v>
                </c:pt>
                <c:pt idx="3">
                  <c:v>Худ.-эстет.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</c:v>
                </c:pt>
                <c:pt idx="1">
                  <c:v>45</c:v>
                </c:pt>
                <c:pt idx="2">
                  <c:v>26</c:v>
                </c:pt>
                <c:pt idx="3">
                  <c:v>38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1-4C5D-9AC8-52DBD8535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43520"/>
        <c:axId val="42857600"/>
      </c:barChart>
      <c:catAx>
        <c:axId val="4284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857600"/>
        <c:crosses val="autoZero"/>
        <c:auto val="1"/>
        <c:lblAlgn val="ctr"/>
        <c:lblOffset val="100"/>
        <c:noMultiLvlLbl val="0"/>
      </c:catAx>
      <c:valAx>
        <c:axId val="4285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84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Познавательное развитие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37</c:v>
                </c:pt>
                <c:pt idx="2">
                  <c:v>47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5B-4DD4-8C51-9D3E3EE19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Познавательное развитие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53</c:v>
                </c:pt>
                <c:pt idx="2">
                  <c:v>53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5B-4DD4-8C51-9D3E3EE19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Познавательное развитие</c:v>
                </c:pt>
                <c:pt idx="1">
                  <c:v>Речевое</c:v>
                </c:pt>
                <c:pt idx="2">
                  <c:v>Социально-коммуникативное</c:v>
                </c:pt>
                <c:pt idx="3">
                  <c:v>Художественно-эстетическое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5B-4DD4-8C51-9D3E3EE19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88064"/>
        <c:axId val="155387008"/>
      </c:barChart>
      <c:catAx>
        <c:axId val="1532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387008"/>
        <c:crosses val="autoZero"/>
        <c:auto val="1"/>
        <c:lblAlgn val="ctr"/>
        <c:lblOffset val="100"/>
        <c:noMultiLvlLbl val="0"/>
      </c:catAx>
      <c:valAx>
        <c:axId val="15538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28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2021-12-06T03:59:00Z</cp:lastPrinted>
  <dcterms:created xsi:type="dcterms:W3CDTF">2022-09-26T02:26:00Z</dcterms:created>
  <dcterms:modified xsi:type="dcterms:W3CDTF">2022-09-26T02:26:00Z</dcterms:modified>
</cp:coreProperties>
</file>